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8AE7E" w14:textId="77777777" w:rsidR="0087720F" w:rsidRPr="00623D89" w:rsidRDefault="00B13FCD" w:rsidP="00ED0396">
      <w:pPr>
        <w:spacing w:line="276" w:lineRule="auto"/>
        <w:jc w:val="center"/>
        <w:rPr>
          <w:rFonts w:ascii="Times New Roman" w:hAnsi="Times New Roman" w:cs="Times New Roman"/>
          <w:b/>
          <w:sz w:val="24"/>
          <w:szCs w:val="24"/>
        </w:rPr>
      </w:pPr>
      <w:bookmarkStart w:id="0" w:name="_GoBack"/>
      <w:bookmarkEnd w:id="0"/>
      <w:r w:rsidRPr="00623D89">
        <w:rPr>
          <w:rFonts w:ascii="Times New Roman" w:hAnsi="Times New Roman" w:cs="Times New Roman"/>
          <w:b/>
          <w:sz w:val="24"/>
          <w:szCs w:val="24"/>
        </w:rPr>
        <w:t>Frequently Asked Questions for Paper</w:t>
      </w:r>
    </w:p>
    <w:p w14:paraId="49CB0372" w14:textId="77777777" w:rsidR="00B13FCD" w:rsidRPr="00623D89" w:rsidRDefault="00B13FCD" w:rsidP="00ED0396">
      <w:pPr>
        <w:spacing w:line="276" w:lineRule="auto"/>
        <w:jc w:val="center"/>
        <w:rPr>
          <w:rFonts w:ascii="Times New Roman" w:hAnsi="Times New Roman" w:cs="Times New Roman"/>
          <w:sz w:val="24"/>
          <w:szCs w:val="24"/>
        </w:rPr>
      </w:pPr>
      <w:r w:rsidRPr="00623D89">
        <w:rPr>
          <w:rFonts w:ascii="Times New Roman" w:hAnsi="Times New Roman" w:cs="Times New Roman"/>
          <w:sz w:val="24"/>
          <w:szCs w:val="24"/>
        </w:rPr>
        <w:t>“Mapping 123 million neonatal, infant, and child deaths between 2000 and 2017”</w:t>
      </w:r>
    </w:p>
    <w:p w14:paraId="0C500701" w14:textId="77777777" w:rsidR="00B13FCD" w:rsidRPr="00623D89" w:rsidRDefault="00B13FCD" w:rsidP="00ED0396">
      <w:pPr>
        <w:spacing w:line="276" w:lineRule="auto"/>
        <w:rPr>
          <w:rFonts w:ascii="Times New Roman" w:hAnsi="Times New Roman" w:cs="Times New Roman"/>
          <w:sz w:val="24"/>
          <w:szCs w:val="24"/>
        </w:rPr>
      </w:pPr>
    </w:p>
    <w:p w14:paraId="75297BFD" w14:textId="77777777" w:rsidR="00B153ED" w:rsidRPr="00623D89" w:rsidRDefault="00ED0396" w:rsidP="00ED0396">
      <w:pPr>
        <w:spacing w:line="276" w:lineRule="auto"/>
        <w:rPr>
          <w:rFonts w:ascii="Times New Roman" w:hAnsi="Times New Roman" w:cs="Times New Roman"/>
          <w:b/>
          <w:sz w:val="24"/>
          <w:szCs w:val="24"/>
        </w:rPr>
      </w:pPr>
      <w:r w:rsidRPr="00623D89">
        <w:rPr>
          <w:rFonts w:ascii="Times New Roman" w:hAnsi="Times New Roman" w:cs="Times New Roman"/>
          <w:b/>
          <w:sz w:val="24"/>
          <w:szCs w:val="24"/>
        </w:rPr>
        <w:t xml:space="preserve">Q: </w:t>
      </w:r>
      <w:r w:rsidR="00B153ED" w:rsidRPr="00623D89">
        <w:rPr>
          <w:rFonts w:ascii="Times New Roman" w:hAnsi="Times New Roman" w:cs="Times New Roman"/>
          <w:b/>
          <w:sz w:val="24"/>
          <w:szCs w:val="24"/>
        </w:rPr>
        <w:t>What is the definition of under-5 mortality?</w:t>
      </w:r>
    </w:p>
    <w:p w14:paraId="538695D1" w14:textId="77AAFCCE" w:rsidR="00B153ED" w:rsidRPr="00623D89" w:rsidRDefault="00B153ED" w:rsidP="00ED0396">
      <w:pPr>
        <w:pStyle w:val="ListParagraph"/>
        <w:numPr>
          <w:ilvl w:val="0"/>
          <w:numId w:val="2"/>
        </w:numPr>
        <w:spacing w:line="276" w:lineRule="auto"/>
        <w:rPr>
          <w:rFonts w:ascii="Times New Roman" w:hAnsi="Times New Roman" w:cs="Times New Roman"/>
          <w:sz w:val="24"/>
          <w:szCs w:val="24"/>
        </w:rPr>
      </w:pPr>
      <w:r w:rsidRPr="00623D89">
        <w:rPr>
          <w:rFonts w:ascii="Times New Roman" w:hAnsi="Times New Roman" w:cs="Times New Roman"/>
          <w:sz w:val="24"/>
          <w:szCs w:val="24"/>
        </w:rPr>
        <w:t>Under-5 mortality includes deaths of neonates (birth to 28 days of age), infants (up to 1 year of age)</w:t>
      </w:r>
      <w:r w:rsidR="008B2A4C">
        <w:rPr>
          <w:rFonts w:ascii="Times New Roman" w:hAnsi="Times New Roman" w:cs="Times New Roman"/>
          <w:sz w:val="24"/>
          <w:szCs w:val="24"/>
        </w:rPr>
        <w:t>,</w:t>
      </w:r>
      <w:r w:rsidRPr="00623D89">
        <w:rPr>
          <w:rFonts w:ascii="Times New Roman" w:hAnsi="Times New Roman" w:cs="Times New Roman"/>
          <w:sz w:val="24"/>
          <w:szCs w:val="24"/>
        </w:rPr>
        <w:t xml:space="preserve"> </w:t>
      </w:r>
      <w:r w:rsidR="0093459E">
        <w:rPr>
          <w:rFonts w:ascii="Times New Roman" w:hAnsi="Times New Roman" w:cs="Times New Roman"/>
          <w:sz w:val="24"/>
          <w:szCs w:val="24"/>
        </w:rPr>
        <w:t>and deaths of children under age</w:t>
      </w:r>
      <w:r w:rsidR="002270F6">
        <w:rPr>
          <w:rFonts w:ascii="Times New Roman" w:hAnsi="Times New Roman" w:cs="Times New Roman"/>
          <w:sz w:val="24"/>
          <w:szCs w:val="24"/>
        </w:rPr>
        <w:t xml:space="preserve"> 5</w:t>
      </w:r>
      <w:r w:rsidRPr="00623D89">
        <w:rPr>
          <w:rFonts w:ascii="Times New Roman" w:hAnsi="Times New Roman" w:cs="Times New Roman"/>
          <w:sz w:val="24"/>
          <w:szCs w:val="24"/>
        </w:rPr>
        <w:t xml:space="preserve">. The mortality rate is reported as the probability of </w:t>
      </w:r>
      <w:r w:rsidR="006D0196">
        <w:rPr>
          <w:rFonts w:ascii="Times New Roman" w:hAnsi="Times New Roman" w:cs="Times New Roman"/>
          <w:sz w:val="24"/>
          <w:szCs w:val="24"/>
        </w:rPr>
        <w:t>death</w:t>
      </w:r>
      <w:r w:rsidR="006D0196" w:rsidRPr="00623D89">
        <w:rPr>
          <w:rFonts w:ascii="Times New Roman" w:hAnsi="Times New Roman" w:cs="Times New Roman"/>
          <w:sz w:val="24"/>
          <w:szCs w:val="24"/>
        </w:rPr>
        <w:t xml:space="preserve"> </w:t>
      </w:r>
      <w:r w:rsidRPr="00623D89">
        <w:rPr>
          <w:rFonts w:ascii="Times New Roman" w:hAnsi="Times New Roman" w:cs="Times New Roman"/>
          <w:sz w:val="24"/>
          <w:szCs w:val="24"/>
        </w:rPr>
        <w:t>before age 5</w:t>
      </w:r>
      <w:r w:rsidR="0052292C">
        <w:rPr>
          <w:rFonts w:ascii="Times New Roman" w:hAnsi="Times New Roman" w:cs="Times New Roman"/>
          <w:sz w:val="24"/>
          <w:szCs w:val="24"/>
        </w:rPr>
        <w:t xml:space="preserve"> for every 1,000 live births</w:t>
      </w:r>
      <w:r w:rsidRPr="00623D89">
        <w:rPr>
          <w:rFonts w:ascii="Times New Roman" w:hAnsi="Times New Roman" w:cs="Times New Roman"/>
          <w:sz w:val="24"/>
          <w:szCs w:val="24"/>
        </w:rPr>
        <w:t xml:space="preserve">. </w:t>
      </w:r>
    </w:p>
    <w:p w14:paraId="6D2E44F8" w14:textId="77777777" w:rsidR="00B153ED" w:rsidRPr="00623D89" w:rsidRDefault="00ED0396" w:rsidP="00ED0396">
      <w:pPr>
        <w:spacing w:line="276" w:lineRule="auto"/>
        <w:rPr>
          <w:rFonts w:ascii="Times New Roman" w:hAnsi="Times New Roman" w:cs="Times New Roman"/>
          <w:b/>
          <w:sz w:val="24"/>
          <w:szCs w:val="24"/>
        </w:rPr>
      </w:pPr>
      <w:r w:rsidRPr="00623D89">
        <w:rPr>
          <w:rFonts w:ascii="Times New Roman" w:hAnsi="Times New Roman" w:cs="Times New Roman"/>
          <w:b/>
          <w:sz w:val="24"/>
          <w:szCs w:val="24"/>
        </w:rPr>
        <w:t>Q: What countries were included in the study?</w:t>
      </w:r>
    </w:p>
    <w:p w14:paraId="2318DA54" w14:textId="1F85D79D" w:rsidR="00ED0396" w:rsidRPr="0093459E" w:rsidRDefault="00ED0396" w:rsidP="00BA461B">
      <w:pPr>
        <w:pStyle w:val="ListParagraph"/>
        <w:numPr>
          <w:ilvl w:val="0"/>
          <w:numId w:val="2"/>
        </w:numPr>
        <w:spacing w:line="276" w:lineRule="auto"/>
        <w:rPr>
          <w:rFonts w:ascii="Times New Roman" w:hAnsi="Times New Roman" w:cs="Times New Roman"/>
          <w:sz w:val="24"/>
          <w:szCs w:val="24"/>
        </w:rPr>
      </w:pPr>
      <w:r w:rsidRPr="00623D89">
        <w:rPr>
          <w:rFonts w:ascii="Times New Roman" w:hAnsi="Times New Roman" w:cs="Times New Roman"/>
          <w:sz w:val="24"/>
          <w:szCs w:val="24"/>
        </w:rPr>
        <w:t xml:space="preserve">The study looks at </w:t>
      </w:r>
      <w:r w:rsidR="00012B53" w:rsidRPr="00623D89">
        <w:rPr>
          <w:rFonts w:ascii="Times New Roman" w:hAnsi="Times New Roman" w:cs="Times New Roman"/>
          <w:sz w:val="24"/>
          <w:szCs w:val="24"/>
        </w:rPr>
        <w:t xml:space="preserve">99 </w:t>
      </w:r>
      <w:r w:rsidRPr="00623D89">
        <w:rPr>
          <w:rFonts w:ascii="Times New Roman" w:hAnsi="Times New Roman" w:cs="Times New Roman"/>
          <w:sz w:val="24"/>
          <w:szCs w:val="24"/>
        </w:rPr>
        <w:t xml:space="preserve">countries where the majority of under-5 deaths occurred in 2017. The countries </w:t>
      </w:r>
      <w:r w:rsidR="0093459E" w:rsidRPr="00623D89">
        <w:rPr>
          <w:rFonts w:ascii="Times New Roman" w:hAnsi="Times New Roman" w:cs="Times New Roman"/>
          <w:sz w:val="24"/>
          <w:szCs w:val="24"/>
        </w:rPr>
        <w:t>s</w:t>
      </w:r>
      <w:r w:rsidR="0093459E">
        <w:rPr>
          <w:rFonts w:ascii="Times New Roman" w:hAnsi="Times New Roman" w:cs="Times New Roman"/>
          <w:sz w:val="24"/>
          <w:szCs w:val="24"/>
        </w:rPr>
        <w:t>tudied</w:t>
      </w:r>
      <w:r w:rsidR="0093459E" w:rsidRPr="00623D89">
        <w:rPr>
          <w:rFonts w:ascii="Times New Roman" w:hAnsi="Times New Roman" w:cs="Times New Roman"/>
          <w:sz w:val="24"/>
          <w:szCs w:val="24"/>
        </w:rPr>
        <w:t xml:space="preserve"> </w:t>
      </w:r>
      <w:r w:rsidRPr="00623D89">
        <w:rPr>
          <w:rFonts w:ascii="Times New Roman" w:hAnsi="Times New Roman" w:cs="Times New Roman"/>
          <w:sz w:val="24"/>
          <w:szCs w:val="24"/>
        </w:rPr>
        <w:t xml:space="preserve">are in the middle, low-middle, or low quintiles of the Socio-demographic </w:t>
      </w:r>
      <w:r w:rsidR="008451EE">
        <w:rPr>
          <w:rFonts w:ascii="Times New Roman" w:hAnsi="Times New Roman" w:cs="Times New Roman"/>
          <w:sz w:val="24"/>
          <w:szCs w:val="24"/>
        </w:rPr>
        <w:t>I</w:t>
      </w:r>
      <w:r w:rsidR="008451EE" w:rsidRPr="00623D89">
        <w:rPr>
          <w:rFonts w:ascii="Times New Roman" w:hAnsi="Times New Roman" w:cs="Times New Roman"/>
          <w:sz w:val="24"/>
          <w:szCs w:val="24"/>
        </w:rPr>
        <w:t xml:space="preserve">ndex </w:t>
      </w:r>
      <w:r w:rsidRPr="00623D89">
        <w:rPr>
          <w:rFonts w:ascii="Times New Roman" w:hAnsi="Times New Roman" w:cs="Times New Roman"/>
          <w:sz w:val="24"/>
          <w:szCs w:val="24"/>
        </w:rPr>
        <w:t xml:space="preserve">(SDI) </w:t>
      </w:r>
      <w:r w:rsidR="006D0196">
        <w:rPr>
          <w:rFonts w:ascii="Times New Roman" w:hAnsi="Times New Roman" w:cs="Times New Roman"/>
          <w:sz w:val="24"/>
          <w:szCs w:val="24"/>
        </w:rPr>
        <w:t>described</w:t>
      </w:r>
      <w:r w:rsidR="006D0196" w:rsidRPr="00623D89">
        <w:rPr>
          <w:rFonts w:ascii="Times New Roman" w:hAnsi="Times New Roman" w:cs="Times New Roman"/>
          <w:sz w:val="24"/>
          <w:szCs w:val="24"/>
        </w:rPr>
        <w:t xml:space="preserve"> </w:t>
      </w:r>
      <w:r w:rsidRPr="00623D89">
        <w:rPr>
          <w:rFonts w:ascii="Times New Roman" w:hAnsi="Times New Roman" w:cs="Times New Roman"/>
          <w:sz w:val="24"/>
          <w:szCs w:val="24"/>
        </w:rPr>
        <w:t xml:space="preserve">in the Global Burden of Disease </w:t>
      </w:r>
      <w:r w:rsidR="006D0196">
        <w:rPr>
          <w:rFonts w:ascii="Times New Roman" w:hAnsi="Times New Roman" w:cs="Times New Roman"/>
          <w:sz w:val="24"/>
          <w:szCs w:val="24"/>
        </w:rPr>
        <w:t xml:space="preserve">study. The SDI is a measure of </w:t>
      </w:r>
      <w:r w:rsidR="006D0196" w:rsidRPr="0093459E">
        <w:rPr>
          <w:rFonts w:ascii="Times New Roman" w:hAnsi="Times New Roman" w:cs="Times New Roman"/>
          <w:sz w:val="24"/>
          <w:szCs w:val="24"/>
        </w:rPr>
        <w:t>development based on income per capita, educational attainment, and fertility rates among</w:t>
      </w:r>
      <w:r w:rsidR="006D0196">
        <w:rPr>
          <w:rFonts w:ascii="Times New Roman" w:hAnsi="Times New Roman" w:cs="Times New Roman"/>
          <w:sz w:val="24"/>
          <w:szCs w:val="24"/>
        </w:rPr>
        <w:t xml:space="preserve"> </w:t>
      </w:r>
      <w:r w:rsidR="006D0196" w:rsidRPr="0093459E">
        <w:rPr>
          <w:rFonts w:ascii="Times New Roman" w:hAnsi="Times New Roman" w:cs="Times New Roman"/>
          <w:sz w:val="24"/>
          <w:szCs w:val="24"/>
        </w:rPr>
        <w:t xml:space="preserve">women under </w:t>
      </w:r>
      <w:r w:rsidR="006D0196">
        <w:rPr>
          <w:rFonts w:ascii="Times New Roman" w:hAnsi="Times New Roman" w:cs="Times New Roman"/>
          <w:sz w:val="24"/>
          <w:szCs w:val="24"/>
        </w:rPr>
        <w:t xml:space="preserve">age </w:t>
      </w:r>
      <w:r w:rsidR="006D0196" w:rsidRPr="00BA461B">
        <w:rPr>
          <w:rFonts w:ascii="Times New Roman" w:hAnsi="Times New Roman" w:cs="Times New Roman"/>
          <w:sz w:val="24"/>
          <w:szCs w:val="24"/>
        </w:rPr>
        <w:t>2</w:t>
      </w:r>
      <w:r w:rsidR="006D0196">
        <w:rPr>
          <w:rFonts w:ascii="Times New Roman" w:hAnsi="Times New Roman" w:cs="Times New Roman"/>
          <w:sz w:val="24"/>
          <w:szCs w:val="24"/>
        </w:rPr>
        <w:t>5</w:t>
      </w:r>
      <w:r w:rsidR="006D0196" w:rsidRPr="0093459E">
        <w:rPr>
          <w:rFonts w:ascii="Times New Roman" w:hAnsi="Times New Roman" w:cs="Times New Roman"/>
          <w:sz w:val="24"/>
          <w:szCs w:val="24"/>
        </w:rPr>
        <w:t>.</w:t>
      </w:r>
    </w:p>
    <w:p w14:paraId="4A7C7B16" w14:textId="463A4B1C" w:rsidR="00012B53" w:rsidRPr="00623D89" w:rsidRDefault="00ED0396" w:rsidP="00012B53">
      <w:pPr>
        <w:pStyle w:val="ListParagraph"/>
        <w:numPr>
          <w:ilvl w:val="1"/>
          <w:numId w:val="2"/>
        </w:numPr>
        <w:spacing w:line="276" w:lineRule="auto"/>
        <w:rPr>
          <w:rFonts w:ascii="Times New Roman" w:hAnsi="Times New Roman" w:cs="Times New Roman"/>
          <w:sz w:val="24"/>
          <w:szCs w:val="24"/>
        </w:rPr>
      </w:pPr>
      <w:r w:rsidRPr="00623D89">
        <w:rPr>
          <w:rFonts w:ascii="Times New Roman" w:hAnsi="Times New Roman" w:cs="Times New Roman"/>
          <w:sz w:val="24"/>
          <w:szCs w:val="24"/>
        </w:rPr>
        <w:t xml:space="preserve">Brazil and Mexico were excluded because of the lack of availability of </w:t>
      </w:r>
      <w:r w:rsidR="00E85172">
        <w:rPr>
          <w:rFonts w:ascii="Times New Roman" w:hAnsi="Times New Roman" w:cs="Times New Roman"/>
          <w:sz w:val="24"/>
          <w:szCs w:val="24"/>
        </w:rPr>
        <w:t>v</w:t>
      </w:r>
      <w:r w:rsidR="00E85172" w:rsidRPr="00623D89">
        <w:rPr>
          <w:rFonts w:ascii="Times New Roman" w:hAnsi="Times New Roman" w:cs="Times New Roman"/>
          <w:sz w:val="24"/>
          <w:szCs w:val="24"/>
        </w:rPr>
        <w:t xml:space="preserve">ital </w:t>
      </w:r>
      <w:r w:rsidR="00E85172">
        <w:rPr>
          <w:rFonts w:ascii="Times New Roman" w:hAnsi="Times New Roman" w:cs="Times New Roman"/>
          <w:sz w:val="24"/>
          <w:szCs w:val="24"/>
        </w:rPr>
        <w:t>r</w:t>
      </w:r>
      <w:r w:rsidR="00E85172" w:rsidRPr="00623D89">
        <w:rPr>
          <w:rFonts w:ascii="Times New Roman" w:hAnsi="Times New Roman" w:cs="Times New Roman"/>
          <w:sz w:val="24"/>
          <w:szCs w:val="24"/>
        </w:rPr>
        <w:t>egistration</w:t>
      </w:r>
      <w:r w:rsidRPr="00623D89">
        <w:rPr>
          <w:rFonts w:ascii="Times New Roman" w:hAnsi="Times New Roman" w:cs="Times New Roman"/>
          <w:sz w:val="24"/>
          <w:szCs w:val="24"/>
        </w:rPr>
        <w:t xml:space="preserve"> data that </w:t>
      </w:r>
      <w:r w:rsidR="00C01E86" w:rsidRPr="00623D89">
        <w:rPr>
          <w:rFonts w:ascii="Times New Roman" w:hAnsi="Times New Roman" w:cs="Times New Roman"/>
          <w:sz w:val="24"/>
          <w:szCs w:val="24"/>
        </w:rPr>
        <w:t>ha</w:t>
      </w:r>
      <w:r w:rsidR="00C01E86">
        <w:rPr>
          <w:rFonts w:ascii="Times New Roman" w:hAnsi="Times New Roman" w:cs="Times New Roman"/>
          <w:sz w:val="24"/>
          <w:szCs w:val="24"/>
        </w:rPr>
        <w:t>ve</w:t>
      </w:r>
      <w:r w:rsidR="00C01E86" w:rsidRPr="00623D89">
        <w:rPr>
          <w:rFonts w:ascii="Times New Roman" w:hAnsi="Times New Roman" w:cs="Times New Roman"/>
          <w:sz w:val="24"/>
          <w:szCs w:val="24"/>
        </w:rPr>
        <w:t xml:space="preserve"> </w:t>
      </w:r>
      <w:r w:rsidRPr="00623D89">
        <w:rPr>
          <w:rFonts w:ascii="Times New Roman" w:hAnsi="Times New Roman" w:cs="Times New Roman"/>
          <w:sz w:val="24"/>
          <w:szCs w:val="24"/>
        </w:rPr>
        <w:t xml:space="preserve">been the basis for existing subnational estimates in those countries. </w:t>
      </w:r>
    </w:p>
    <w:p w14:paraId="7BE30EC2" w14:textId="7E33DD5E" w:rsidR="00012B53" w:rsidRPr="00623D89" w:rsidRDefault="00ED0396" w:rsidP="00012B53">
      <w:pPr>
        <w:pStyle w:val="ListParagraph"/>
        <w:numPr>
          <w:ilvl w:val="1"/>
          <w:numId w:val="2"/>
        </w:numPr>
        <w:spacing w:line="276" w:lineRule="auto"/>
        <w:rPr>
          <w:rFonts w:ascii="Times New Roman" w:hAnsi="Times New Roman" w:cs="Times New Roman"/>
          <w:sz w:val="24"/>
          <w:szCs w:val="24"/>
        </w:rPr>
      </w:pPr>
      <w:r w:rsidRPr="00623D89">
        <w:rPr>
          <w:rFonts w:ascii="Times New Roman" w:hAnsi="Times New Roman" w:cs="Times New Roman"/>
          <w:sz w:val="24"/>
          <w:szCs w:val="24"/>
        </w:rPr>
        <w:t>Albania, Moldova</w:t>
      </w:r>
      <w:r w:rsidR="00C01E86">
        <w:rPr>
          <w:rFonts w:ascii="Times New Roman" w:hAnsi="Times New Roman" w:cs="Times New Roman"/>
          <w:sz w:val="24"/>
          <w:szCs w:val="24"/>
        </w:rPr>
        <w:t>,</w:t>
      </w:r>
      <w:r w:rsidRPr="00623D89">
        <w:rPr>
          <w:rFonts w:ascii="Times New Roman" w:hAnsi="Times New Roman" w:cs="Times New Roman"/>
          <w:sz w:val="24"/>
          <w:szCs w:val="24"/>
        </w:rPr>
        <w:t xml:space="preserve"> and North Korea were excluded due to geographic discontinuity with other surveyed countries and lack of data. </w:t>
      </w:r>
    </w:p>
    <w:p w14:paraId="0D1F9658" w14:textId="45604312" w:rsidR="00012B53" w:rsidRPr="00623D89" w:rsidRDefault="00ED0396" w:rsidP="00012B53">
      <w:pPr>
        <w:pStyle w:val="ListParagraph"/>
        <w:numPr>
          <w:ilvl w:val="1"/>
          <w:numId w:val="2"/>
        </w:numPr>
        <w:spacing w:line="276" w:lineRule="auto"/>
        <w:rPr>
          <w:rFonts w:ascii="Times New Roman" w:hAnsi="Times New Roman" w:cs="Times New Roman"/>
          <w:sz w:val="24"/>
          <w:szCs w:val="24"/>
        </w:rPr>
      </w:pPr>
      <w:r w:rsidRPr="00623D89">
        <w:rPr>
          <w:rFonts w:ascii="Times New Roman" w:hAnsi="Times New Roman" w:cs="Times New Roman"/>
          <w:sz w:val="24"/>
          <w:szCs w:val="24"/>
        </w:rPr>
        <w:t xml:space="preserve">China and Malaysia were excluded because they transitioned to </w:t>
      </w:r>
      <w:r w:rsidR="00C01E86">
        <w:rPr>
          <w:rFonts w:ascii="Times New Roman" w:hAnsi="Times New Roman" w:cs="Times New Roman"/>
          <w:sz w:val="24"/>
          <w:szCs w:val="24"/>
        </w:rPr>
        <w:t>h</w:t>
      </w:r>
      <w:r w:rsidR="00C01E86" w:rsidRPr="00623D89">
        <w:rPr>
          <w:rFonts w:ascii="Times New Roman" w:hAnsi="Times New Roman" w:cs="Times New Roman"/>
          <w:sz w:val="24"/>
          <w:szCs w:val="24"/>
        </w:rPr>
        <w:t>igh</w:t>
      </w:r>
      <w:r w:rsidRPr="00623D89">
        <w:rPr>
          <w:rFonts w:ascii="Times New Roman" w:hAnsi="Times New Roman" w:cs="Times New Roman"/>
          <w:sz w:val="24"/>
          <w:szCs w:val="24"/>
        </w:rPr>
        <w:t xml:space="preserve">-middle SDI status during the study period. </w:t>
      </w:r>
    </w:p>
    <w:p w14:paraId="57E42001" w14:textId="18F9D179" w:rsidR="00012B53" w:rsidRPr="00623D89" w:rsidRDefault="00ED0396" w:rsidP="00012B53">
      <w:pPr>
        <w:pStyle w:val="ListParagraph"/>
        <w:numPr>
          <w:ilvl w:val="1"/>
          <w:numId w:val="2"/>
        </w:numPr>
        <w:spacing w:line="276" w:lineRule="auto"/>
        <w:rPr>
          <w:rFonts w:ascii="Times New Roman" w:hAnsi="Times New Roman" w:cs="Times New Roman"/>
          <w:sz w:val="24"/>
          <w:szCs w:val="24"/>
        </w:rPr>
      </w:pPr>
      <w:r w:rsidRPr="00623D89">
        <w:rPr>
          <w:rFonts w:ascii="Times New Roman" w:hAnsi="Times New Roman" w:cs="Times New Roman"/>
          <w:sz w:val="24"/>
          <w:szCs w:val="24"/>
        </w:rPr>
        <w:t xml:space="preserve">Libya was included, despite </w:t>
      </w:r>
      <w:r w:rsidR="005D513B">
        <w:rPr>
          <w:rFonts w:ascii="Times New Roman" w:hAnsi="Times New Roman" w:cs="Times New Roman"/>
          <w:sz w:val="24"/>
          <w:szCs w:val="24"/>
        </w:rPr>
        <w:t>h</w:t>
      </w:r>
      <w:r w:rsidR="005D513B" w:rsidRPr="00623D89">
        <w:rPr>
          <w:rFonts w:ascii="Times New Roman" w:hAnsi="Times New Roman" w:cs="Times New Roman"/>
          <w:sz w:val="24"/>
          <w:szCs w:val="24"/>
        </w:rPr>
        <w:t>igh</w:t>
      </w:r>
      <w:r w:rsidRPr="00623D89">
        <w:rPr>
          <w:rFonts w:ascii="Times New Roman" w:hAnsi="Times New Roman" w:cs="Times New Roman"/>
          <w:sz w:val="24"/>
          <w:szCs w:val="24"/>
        </w:rPr>
        <w:t xml:space="preserve">-middle SDI status, to create better geographic continuity. </w:t>
      </w:r>
      <w:r w:rsidR="002270F6">
        <w:rPr>
          <w:rFonts w:ascii="Times New Roman" w:hAnsi="Times New Roman" w:cs="Times New Roman"/>
          <w:sz w:val="24"/>
          <w:szCs w:val="24"/>
        </w:rPr>
        <w:t xml:space="preserve">(Without Libya, Egypt is modeled as part of North Africa with no neighbors, making geospatial analysis difficult). </w:t>
      </w:r>
    </w:p>
    <w:p w14:paraId="0B7C824A" w14:textId="0FD7765A" w:rsidR="00ED0396" w:rsidRPr="00623D89" w:rsidRDefault="00ED0396" w:rsidP="00012B53">
      <w:pPr>
        <w:pStyle w:val="ListParagraph"/>
        <w:numPr>
          <w:ilvl w:val="1"/>
          <w:numId w:val="2"/>
        </w:numPr>
        <w:spacing w:line="276" w:lineRule="auto"/>
        <w:rPr>
          <w:rFonts w:ascii="Times New Roman" w:hAnsi="Times New Roman" w:cs="Times New Roman"/>
          <w:sz w:val="24"/>
          <w:szCs w:val="24"/>
        </w:rPr>
      </w:pPr>
      <w:r w:rsidRPr="00623D89">
        <w:rPr>
          <w:rFonts w:ascii="Times New Roman" w:hAnsi="Times New Roman" w:cs="Times New Roman"/>
          <w:sz w:val="24"/>
          <w:szCs w:val="24"/>
        </w:rPr>
        <w:t>Island nations with populations under 1 million were excluded.</w:t>
      </w:r>
    </w:p>
    <w:p w14:paraId="161F8C9F" w14:textId="4EFEF279" w:rsidR="009C3E66" w:rsidRPr="00623D89" w:rsidRDefault="00ED0396" w:rsidP="009C3E66">
      <w:pPr>
        <w:spacing w:line="276" w:lineRule="auto"/>
        <w:rPr>
          <w:rFonts w:ascii="Times New Roman" w:hAnsi="Times New Roman" w:cs="Times New Roman"/>
          <w:b/>
          <w:sz w:val="24"/>
          <w:szCs w:val="24"/>
        </w:rPr>
      </w:pPr>
      <w:r w:rsidRPr="00623D89">
        <w:rPr>
          <w:rFonts w:ascii="Times New Roman" w:hAnsi="Times New Roman" w:cs="Times New Roman"/>
          <w:b/>
          <w:sz w:val="24"/>
          <w:szCs w:val="24"/>
        </w:rPr>
        <w:t>Q: What are the major causes and risks for under-5 mortality?</w:t>
      </w:r>
    </w:p>
    <w:p w14:paraId="25A8DC65" w14:textId="15243B2B" w:rsidR="009C3E66" w:rsidRPr="00623D89" w:rsidRDefault="00CC36B1" w:rsidP="009C3E66">
      <w:pPr>
        <w:pStyle w:val="ListParagraph"/>
        <w:numPr>
          <w:ilvl w:val="0"/>
          <w:numId w:val="3"/>
        </w:numPr>
        <w:spacing w:line="276" w:lineRule="auto"/>
        <w:rPr>
          <w:rFonts w:ascii="Times New Roman" w:hAnsi="Times New Roman" w:cs="Times New Roman"/>
          <w:b/>
          <w:sz w:val="24"/>
          <w:szCs w:val="24"/>
        </w:rPr>
      </w:pPr>
      <w:r>
        <w:rPr>
          <w:rFonts w:ascii="Times New Roman" w:hAnsi="Times New Roman" w:cs="Times New Roman"/>
          <w:sz w:val="24"/>
          <w:szCs w:val="24"/>
        </w:rPr>
        <w:t>Globally, p</w:t>
      </w:r>
      <w:r w:rsidR="009C3E66" w:rsidRPr="00623D89">
        <w:rPr>
          <w:rFonts w:ascii="Times New Roman" w:hAnsi="Times New Roman" w:cs="Times New Roman"/>
          <w:sz w:val="24"/>
          <w:szCs w:val="24"/>
        </w:rPr>
        <w:t xml:space="preserve">remature birth was the biggest cause of deaths before the age of 1 year in 2017. </w:t>
      </w:r>
      <w:r>
        <w:rPr>
          <w:rFonts w:ascii="Times New Roman" w:hAnsi="Times New Roman" w:cs="Times New Roman"/>
          <w:sz w:val="24"/>
          <w:szCs w:val="24"/>
        </w:rPr>
        <w:t>Malaria, diarrheal diseases, and l</w:t>
      </w:r>
      <w:r w:rsidR="009C3E66" w:rsidRPr="00623D89">
        <w:rPr>
          <w:rFonts w:ascii="Times New Roman" w:hAnsi="Times New Roman" w:cs="Times New Roman"/>
          <w:sz w:val="24"/>
          <w:szCs w:val="24"/>
        </w:rPr>
        <w:t xml:space="preserve">ower respiratory infections </w:t>
      </w:r>
      <w:r>
        <w:rPr>
          <w:rFonts w:ascii="Times New Roman" w:hAnsi="Times New Roman" w:cs="Times New Roman"/>
          <w:sz w:val="24"/>
          <w:szCs w:val="24"/>
        </w:rPr>
        <w:t>were</w:t>
      </w:r>
      <w:r w:rsidRPr="00623D89">
        <w:rPr>
          <w:rFonts w:ascii="Times New Roman" w:hAnsi="Times New Roman" w:cs="Times New Roman"/>
          <w:sz w:val="24"/>
          <w:szCs w:val="24"/>
        </w:rPr>
        <w:t xml:space="preserve"> </w:t>
      </w:r>
      <w:r w:rsidR="009C3E66" w:rsidRPr="00623D89">
        <w:rPr>
          <w:rFonts w:ascii="Times New Roman" w:hAnsi="Times New Roman" w:cs="Times New Roman"/>
          <w:sz w:val="24"/>
          <w:szCs w:val="24"/>
        </w:rPr>
        <w:t>the largest killers of children between the ages of 1 and 5. Many risk factors contribute to under-5 deaths, with some of the biggest being low birth weight</w:t>
      </w:r>
      <w:r>
        <w:rPr>
          <w:rFonts w:ascii="Times New Roman" w:hAnsi="Times New Roman" w:cs="Times New Roman"/>
          <w:sz w:val="24"/>
          <w:szCs w:val="24"/>
        </w:rPr>
        <w:t xml:space="preserve"> and short gestation</w:t>
      </w:r>
      <w:r w:rsidR="009C3E66" w:rsidRPr="00623D89">
        <w:rPr>
          <w:rFonts w:ascii="Times New Roman" w:hAnsi="Times New Roman" w:cs="Times New Roman"/>
          <w:sz w:val="24"/>
          <w:szCs w:val="24"/>
        </w:rPr>
        <w:t xml:space="preserve">, </w:t>
      </w:r>
      <w:r w:rsidR="009D6A25" w:rsidRPr="00623D89">
        <w:rPr>
          <w:rFonts w:ascii="Times New Roman" w:hAnsi="Times New Roman" w:cs="Times New Roman"/>
          <w:sz w:val="24"/>
          <w:szCs w:val="24"/>
        </w:rPr>
        <w:t xml:space="preserve">undernutrition, and </w:t>
      </w:r>
      <w:r w:rsidR="009C3E66" w:rsidRPr="00623D89">
        <w:rPr>
          <w:rFonts w:ascii="Times New Roman" w:hAnsi="Times New Roman" w:cs="Times New Roman"/>
          <w:sz w:val="24"/>
          <w:szCs w:val="24"/>
        </w:rPr>
        <w:t>lack of access to clean water</w:t>
      </w:r>
      <w:r w:rsidR="009D6A25" w:rsidRPr="00623D89">
        <w:rPr>
          <w:rFonts w:ascii="Times New Roman" w:hAnsi="Times New Roman" w:cs="Times New Roman"/>
          <w:sz w:val="24"/>
          <w:szCs w:val="24"/>
        </w:rPr>
        <w:t xml:space="preserve">. More information on causes of death and risk factors is available </w:t>
      </w:r>
      <w:hyperlink r:id="rId5" w:history="1">
        <w:r w:rsidR="009D6A25" w:rsidRPr="00623D89">
          <w:rPr>
            <w:rStyle w:val="Hyperlink"/>
            <w:rFonts w:ascii="Times New Roman" w:hAnsi="Times New Roman" w:cs="Times New Roman"/>
            <w:sz w:val="24"/>
            <w:szCs w:val="24"/>
          </w:rPr>
          <w:t xml:space="preserve">in the Global Burden of Disease </w:t>
        </w:r>
        <w:r>
          <w:rPr>
            <w:rStyle w:val="Hyperlink"/>
            <w:rFonts w:ascii="Times New Roman" w:hAnsi="Times New Roman" w:cs="Times New Roman"/>
            <w:sz w:val="24"/>
            <w:szCs w:val="24"/>
          </w:rPr>
          <w:t>study</w:t>
        </w:r>
        <w:r w:rsidR="009D6A25" w:rsidRPr="00623D89">
          <w:rPr>
            <w:rStyle w:val="Hyperlink"/>
            <w:rFonts w:ascii="Times New Roman" w:hAnsi="Times New Roman" w:cs="Times New Roman"/>
            <w:sz w:val="24"/>
            <w:szCs w:val="24"/>
          </w:rPr>
          <w:t xml:space="preserve">. </w:t>
        </w:r>
      </w:hyperlink>
      <w:r w:rsidR="009C3E66" w:rsidRPr="00623D89">
        <w:rPr>
          <w:rFonts w:ascii="Times New Roman" w:hAnsi="Times New Roman" w:cs="Times New Roman"/>
          <w:sz w:val="24"/>
          <w:szCs w:val="24"/>
        </w:rPr>
        <w:t xml:space="preserve"> </w:t>
      </w:r>
    </w:p>
    <w:p w14:paraId="244A6DCF" w14:textId="29FEA7CE" w:rsidR="003104DA" w:rsidRPr="00623D89" w:rsidRDefault="003104DA" w:rsidP="00ED0396">
      <w:pPr>
        <w:spacing w:line="276" w:lineRule="auto"/>
        <w:rPr>
          <w:rFonts w:ascii="Times New Roman" w:hAnsi="Times New Roman" w:cs="Times New Roman"/>
          <w:b/>
          <w:sz w:val="24"/>
          <w:szCs w:val="24"/>
        </w:rPr>
      </w:pPr>
      <w:r w:rsidRPr="00623D89">
        <w:rPr>
          <w:rFonts w:ascii="Times New Roman" w:hAnsi="Times New Roman" w:cs="Times New Roman"/>
          <w:b/>
          <w:sz w:val="24"/>
          <w:szCs w:val="24"/>
        </w:rPr>
        <w:t xml:space="preserve">Q: What are </w:t>
      </w:r>
      <w:r w:rsidR="00E32B5A">
        <w:rPr>
          <w:rFonts w:ascii="Times New Roman" w:hAnsi="Times New Roman" w:cs="Times New Roman"/>
          <w:b/>
          <w:sz w:val="24"/>
          <w:szCs w:val="24"/>
        </w:rPr>
        <w:t>the</w:t>
      </w:r>
      <w:r w:rsidRPr="00623D89">
        <w:rPr>
          <w:rFonts w:ascii="Times New Roman" w:hAnsi="Times New Roman" w:cs="Times New Roman"/>
          <w:b/>
          <w:sz w:val="24"/>
          <w:szCs w:val="24"/>
        </w:rPr>
        <w:t xml:space="preserve"> key takeaways from this study? </w:t>
      </w:r>
    </w:p>
    <w:p w14:paraId="76A1895F" w14:textId="080B12C0" w:rsidR="003104DA" w:rsidRPr="00623D89" w:rsidRDefault="003104DA" w:rsidP="003104DA">
      <w:pPr>
        <w:pStyle w:val="ListParagraph"/>
        <w:numPr>
          <w:ilvl w:val="0"/>
          <w:numId w:val="5"/>
        </w:numPr>
        <w:spacing w:line="276" w:lineRule="auto"/>
        <w:rPr>
          <w:rFonts w:ascii="Times New Roman" w:hAnsi="Times New Roman" w:cs="Times New Roman"/>
          <w:sz w:val="24"/>
          <w:szCs w:val="24"/>
        </w:rPr>
      </w:pPr>
      <w:r w:rsidRPr="00623D89">
        <w:rPr>
          <w:rFonts w:ascii="Times New Roman" w:hAnsi="Times New Roman" w:cs="Times New Roman"/>
          <w:sz w:val="24"/>
          <w:szCs w:val="24"/>
        </w:rPr>
        <w:lastRenderedPageBreak/>
        <w:t xml:space="preserve">A child’s risk of dying before age 5 varies tremendously depending on where they are born. There is up to a 40-fold difference in the probability of death before age 5 </w:t>
      </w:r>
      <w:r w:rsidR="00012B53" w:rsidRPr="00623D89">
        <w:rPr>
          <w:rFonts w:ascii="Times New Roman" w:hAnsi="Times New Roman" w:cs="Times New Roman"/>
          <w:sz w:val="24"/>
          <w:szCs w:val="24"/>
        </w:rPr>
        <w:t>across all</w:t>
      </w:r>
      <w:r w:rsidRPr="00623D89">
        <w:rPr>
          <w:rFonts w:ascii="Times New Roman" w:hAnsi="Times New Roman" w:cs="Times New Roman"/>
          <w:sz w:val="24"/>
          <w:szCs w:val="24"/>
        </w:rPr>
        <w:t xml:space="preserve"> districts included in this analysis. </w:t>
      </w:r>
      <w:r w:rsidR="00F7201F" w:rsidRPr="00623D89">
        <w:rPr>
          <w:rFonts w:ascii="Times New Roman" w:hAnsi="Times New Roman" w:cs="Times New Roman"/>
          <w:sz w:val="24"/>
          <w:szCs w:val="24"/>
        </w:rPr>
        <w:t xml:space="preserve">The highest mortality rates at the </w:t>
      </w:r>
      <w:r w:rsidR="00E079A5">
        <w:rPr>
          <w:rFonts w:ascii="Times New Roman" w:hAnsi="Times New Roman" w:cs="Times New Roman"/>
          <w:sz w:val="24"/>
          <w:szCs w:val="24"/>
        </w:rPr>
        <w:t>local</w:t>
      </w:r>
      <w:r w:rsidR="00E079A5" w:rsidRPr="00623D89">
        <w:rPr>
          <w:rFonts w:ascii="Times New Roman" w:hAnsi="Times New Roman" w:cs="Times New Roman"/>
          <w:sz w:val="24"/>
          <w:szCs w:val="24"/>
        </w:rPr>
        <w:t xml:space="preserve"> </w:t>
      </w:r>
      <w:r w:rsidR="00F7201F" w:rsidRPr="00623D89">
        <w:rPr>
          <w:rFonts w:ascii="Times New Roman" w:hAnsi="Times New Roman" w:cs="Times New Roman"/>
          <w:sz w:val="24"/>
          <w:szCs w:val="24"/>
        </w:rPr>
        <w:t xml:space="preserve">level were observed in </w:t>
      </w:r>
      <w:r w:rsidR="00AF3B74">
        <w:rPr>
          <w:rFonts w:ascii="Times New Roman" w:hAnsi="Times New Roman" w:cs="Times New Roman"/>
          <w:sz w:val="24"/>
          <w:szCs w:val="24"/>
        </w:rPr>
        <w:t>Nigeria</w:t>
      </w:r>
      <w:r w:rsidR="00F7201F" w:rsidRPr="00623D89">
        <w:rPr>
          <w:rFonts w:ascii="Times New Roman" w:hAnsi="Times New Roman" w:cs="Times New Roman"/>
          <w:sz w:val="24"/>
          <w:szCs w:val="24"/>
        </w:rPr>
        <w:t xml:space="preserve">, and the lowest in Cuba. </w:t>
      </w:r>
    </w:p>
    <w:p w14:paraId="6C9217E5" w14:textId="7FE218DE" w:rsidR="003104DA" w:rsidRDefault="003104DA" w:rsidP="003104DA">
      <w:pPr>
        <w:pStyle w:val="ListParagraph"/>
        <w:numPr>
          <w:ilvl w:val="0"/>
          <w:numId w:val="5"/>
        </w:numPr>
        <w:spacing w:line="276" w:lineRule="auto"/>
        <w:rPr>
          <w:rFonts w:ascii="Times New Roman" w:hAnsi="Times New Roman" w:cs="Times New Roman"/>
          <w:sz w:val="24"/>
          <w:szCs w:val="24"/>
        </w:rPr>
      </w:pPr>
      <w:r w:rsidRPr="00623D89">
        <w:rPr>
          <w:rFonts w:ascii="Times New Roman" w:hAnsi="Times New Roman" w:cs="Times New Roman"/>
          <w:sz w:val="24"/>
          <w:szCs w:val="24"/>
        </w:rPr>
        <w:t xml:space="preserve">Despite </w:t>
      </w:r>
      <w:r w:rsidR="00012B53" w:rsidRPr="00623D89">
        <w:rPr>
          <w:rFonts w:ascii="Times New Roman" w:hAnsi="Times New Roman" w:cs="Times New Roman"/>
          <w:sz w:val="24"/>
          <w:szCs w:val="24"/>
        </w:rPr>
        <w:t xml:space="preserve">progress in all countries studied, the geographic areas with the highest concentration of child deaths in 2000 are largely the same as those suffering the largest burden in 2017. This reflects inequality that is resistant to improvement and may indicate a need for new strategies to further reduce child deaths. </w:t>
      </w:r>
    </w:p>
    <w:p w14:paraId="1FE10791" w14:textId="54202C36" w:rsidR="003E32D0" w:rsidRPr="00623D89" w:rsidRDefault="003E32D0" w:rsidP="003104D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Based on the analysis, </w:t>
      </w:r>
      <w:r w:rsidRPr="00C073D6">
        <w:rPr>
          <w:rFonts w:ascii="Times New Roman" w:hAnsi="Times New Roman" w:cs="Times New Roman"/>
          <w:sz w:val="24"/>
          <w:szCs w:val="24"/>
        </w:rPr>
        <w:t xml:space="preserve">nearly half of the 5.4 million under-5 deaths in 2017 can be attributed to </w:t>
      </w:r>
      <w:r>
        <w:rPr>
          <w:rFonts w:ascii="Times New Roman" w:hAnsi="Times New Roman" w:cs="Times New Roman"/>
          <w:sz w:val="24"/>
          <w:szCs w:val="24"/>
        </w:rPr>
        <w:t>inequalities</w:t>
      </w:r>
      <w:r w:rsidRPr="00C073D6">
        <w:rPr>
          <w:rFonts w:ascii="Times New Roman" w:hAnsi="Times New Roman" w:cs="Times New Roman"/>
          <w:sz w:val="24"/>
          <w:szCs w:val="24"/>
        </w:rPr>
        <w:t xml:space="preserve"> in child death rates</w:t>
      </w:r>
      <w:r>
        <w:rPr>
          <w:rFonts w:ascii="Times New Roman" w:hAnsi="Times New Roman" w:cs="Times New Roman"/>
          <w:sz w:val="24"/>
          <w:szCs w:val="24"/>
        </w:rPr>
        <w:t xml:space="preserve"> within and across countries. </w:t>
      </w:r>
    </w:p>
    <w:p w14:paraId="648C92A7" w14:textId="77777777" w:rsidR="009D6A25" w:rsidRPr="00623D89" w:rsidRDefault="009D6A25" w:rsidP="009D6A25">
      <w:pPr>
        <w:spacing w:line="276" w:lineRule="auto"/>
        <w:rPr>
          <w:rFonts w:ascii="Times New Roman" w:hAnsi="Times New Roman" w:cs="Times New Roman"/>
          <w:b/>
          <w:sz w:val="24"/>
          <w:szCs w:val="24"/>
        </w:rPr>
      </w:pPr>
      <w:r w:rsidRPr="00623D89">
        <w:rPr>
          <w:rFonts w:ascii="Times New Roman" w:hAnsi="Times New Roman" w:cs="Times New Roman"/>
          <w:b/>
          <w:sz w:val="24"/>
          <w:szCs w:val="24"/>
        </w:rPr>
        <w:t>Q: How did population changes factor into the results?</w:t>
      </w:r>
    </w:p>
    <w:p w14:paraId="51C0923E" w14:textId="05EEA585" w:rsidR="009D6A25" w:rsidRPr="00623D89" w:rsidRDefault="009D6A25" w:rsidP="009D6A25">
      <w:pPr>
        <w:pStyle w:val="ListParagraph"/>
        <w:numPr>
          <w:ilvl w:val="0"/>
          <w:numId w:val="3"/>
        </w:numPr>
        <w:spacing w:line="276" w:lineRule="auto"/>
        <w:rPr>
          <w:rFonts w:ascii="Times New Roman" w:hAnsi="Times New Roman" w:cs="Times New Roman"/>
          <w:sz w:val="24"/>
          <w:szCs w:val="24"/>
        </w:rPr>
      </w:pPr>
      <w:r w:rsidRPr="00623D89">
        <w:rPr>
          <w:rFonts w:ascii="Times New Roman" w:hAnsi="Times New Roman" w:cs="Times New Roman"/>
          <w:sz w:val="24"/>
          <w:szCs w:val="24"/>
        </w:rPr>
        <w:t xml:space="preserve">Child death rates declined despite population growth, indicating that progress in lowering death rates is outpacing a growing under-5 population. </w:t>
      </w:r>
    </w:p>
    <w:p w14:paraId="71D4E2D2" w14:textId="77777777" w:rsidR="00AB25E0" w:rsidRPr="00623D89" w:rsidRDefault="00ED0396" w:rsidP="00ED0396">
      <w:pPr>
        <w:spacing w:line="276" w:lineRule="auto"/>
        <w:rPr>
          <w:rFonts w:ascii="Times New Roman" w:hAnsi="Times New Roman" w:cs="Times New Roman"/>
          <w:b/>
          <w:sz w:val="24"/>
          <w:szCs w:val="24"/>
        </w:rPr>
      </w:pPr>
      <w:r w:rsidRPr="00623D89">
        <w:rPr>
          <w:rFonts w:ascii="Times New Roman" w:hAnsi="Times New Roman" w:cs="Times New Roman"/>
          <w:b/>
          <w:sz w:val="24"/>
          <w:szCs w:val="24"/>
        </w:rPr>
        <w:t>Q: What other variables were included in the analysis?</w:t>
      </w:r>
    </w:p>
    <w:p w14:paraId="0F0E8622" w14:textId="2BDB0D6B" w:rsidR="00ED0396" w:rsidRPr="00623D89" w:rsidRDefault="00ED0396" w:rsidP="00ED0396">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The researchers included the following sociodemographic and environmental covariates:</w:t>
      </w:r>
    </w:p>
    <w:p w14:paraId="3B3C72EF" w14:textId="3ED76B35" w:rsidR="00ED0396" w:rsidRPr="00623D89" w:rsidRDefault="003104DA"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t</w:t>
      </w:r>
      <w:r w:rsidR="00ED0396" w:rsidRPr="00623D89">
        <w:rPr>
          <w:rFonts w:ascii="Times New Roman" w:hAnsi="Times New Roman" w:cs="Times New Roman"/>
          <w:sz w:val="24"/>
          <w:szCs w:val="24"/>
        </w:rPr>
        <w:t xml:space="preserve">ravel time to nearest inhabited area of 50,000 or more, which serves as a proxy for remoteness from services; </w:t>
      </w:r>
    </w:p>
    <w:p w14:paraId="19121797" w14:textId="0D9E8828" w:rsidR="00ED0396" w:rsidRPr="00623D89" w:rsidRDefault="003104DA"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i</w:t>
      </w:r>
      <w:r w:rsidR="00ED0396" w:rsidRPr="00623D89">
        <w:rPr>
          <w:rFonts w:ascii="Times New Roman" w:hAnsi="Times New Roman" w:cs="Times New Roman"/>
          <w:sz w:val="24"/>
          <w:szCs w:val="24"/>
        </w:rPr>
        <w:t>ntensity of lights at night, which serves as a measure of electricity consumption and economic development</w:t>
      </w:r>
      <w:r w:rsidR="00D341AC">
        <w:rPr>
          <w:rFonts w:ascii="Times New Roman" w:hAnsi="Times New Roman" w:cs="Times New Roman"/>
          <w:sz w:val="24"/>
          <w:szCs w:val="24"/>
        </w:rPr>
        <w:t>;</w:t>
      </w:r>
      <w:r w:rsidR="00D341AC" w:rsidRPr="00623D89">
        <w:rPr>
          <w:rFonts w:ascii="Times New Roman" w:hAnsi="Times New Roman" w:cs="Times New Roman"/>
          <w:sz w:val="24"/>
          <w:szCs w:val="24"/>
        </w:rPr>
        <w:t xml:space="preserve"> </w:t>
      </w:r>
    </w:p>
    <w:p w14:paraId="661FAA62" w14:textId="15DA288C" w:rsidR="00ED0396" w:rsidRPr="00623D89" w:rsidRDefault="003104DA"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m</w:t>
      </w:r>
      <w:r w:rsidR="00ED0396" w:rsidRPr="00623D89">
        <w:rPr>
          <w:rFonts w:ascii="Times New Roman" w:hAnsi="Times New Roman" w:cs="Times New Roman"/>
          <w:sz w:val="24"/>
          <w:szCs w:val="24"/>
        </w:rPr>
        <w:t>ean years of educational attainment by women of reproductive age</w:t>
      </w:r>
      <w:r w:rsidR="00D341AC">
        <w:rPr>
          <w:rFonts w:ascii="Times New Roman" w:hAnsi="Times New Roman" w:cs="Times New Roman"/>
          <w:sz w:val="24"/>
          <w:szCs w:val="24"/>
        </w:rPr>
        <w:t>;</w:t>
      </w:r>
      <w:r w:rsidR="00D341AC" w:rsidRPr="00623D89">
        <w:rPr>
          <w:rFonts w:ascii="Times New Roman" w:hAnsi="Times New Roman" w:cs="Times New Roman"/>
          <w:sz w:val="24"/>
          <w:szCs w:val="24"/>
        </w:rPr>
        <w:t xml:space="preserve"> </w:t>
      </w:r>
    </w:p>
    <w:p w14:paraId="67D86A16" w14:textId="165772E1" w:rsidR="00ED0396" w:rsidRPr="00623D89" w:rsidRDefault="003104DA"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the</w:t>
      </w:r>
      <w:r w:rsidR="00ED0396" w:rsidRPr="00623D89">
        <w:rPr>
          <w:rFonts w:ascii="Times New Roman" w:hAnsi="Times New Roman" w:cs="Times New Roman"/>
          <w:sz w:val="24"/>
          <w:szCs w:val="24"/>
        </w:rPr>
        <w:t xml:space="preserve"> mass per cubic meter of air of particles with a diameter less than 2.5 micrometers (PM</w:t>
      </w:r>
      <w:r w:rsidR="00ED0396" w:rsidRPr="0093459E">
        <w:rPr>
          <w:rFonts w:ascii="Times New Roman" w:hAnsi="Times New Roman" w:cs="Times New Roman"/>
          <w:sz w:val="24"/>
          <w:szCs w:val="24"/>
          <w:vertAlign w:val="subscript"/>
        </w:rPr>
        <w:t>2.5</w:t>
      </w:r>
      <w:r w:rsidR="00ED0396" w:rsidRPr="00623D89">
        <w:rPr>
          <w:rFonts w:ascii="Times New Roman" w:hAnsi="Times New Roman" w:cs="Times New Roman"/>
          <w:sz w:val="24"/>
          <w:szCs w:val="24"/>
        </w:rPr>
        <w:t xml:space="preserve">); </w:t>
      </w:r>
    </w:p>
    <w:p w14:paraId="746AAAD3" w14:textId="4C49331A" w:rsidR="00ED0396" w:rsidRPr="00623D89" w:rsidRDefault="003104DA"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the r</w:t>
      </w:r>
      <w:r w:rsidR="00ED0396" w:rsidRPr="00623D89">
        <w:rPr>
          <w:rFonts w:ascii="Times New Roman" w:hAnsi="Times New Roman" w:cs="Times New Roman"/>
          <w:sz w:val="24"/>
          <w:szCs w:val="24"/>
        </w:rPr>
        <w:t xml:space="preserve">atio of children under 5 to number of women of reproductive age (fertility proxy); </w:t>
      </w:r>
    </w:p>
    <w:p w14:paraId="3B2862E1" w14:textId="074882F8" w:rsidR="00ED0396" w:rsidRPr="00623D89" w:rsidRDefault="003104DA"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t</w:t>
      </w:r>
      <w:r w:rsidR="00ED0396" w:rsidRPr="00623D89">
        <w:rPr>
          <w:rFonts w:ascii="Times New Roman" w:hAnsi="Times New Roman" w:cs="Times New Roman"/>
          <w:sz w:val="24"/>
          <w:szCs w:val="24"/>
        </w:rPr>
        <w:t xml:space="preserve">he total population; and </w:t>
      </w:r>
    </w:p>
    <w:p w14:paraId="17661FE4" w14:textId="444F2122" w:rsidR="00ED0396" w:rsidRPr="00623D89" w:rsidRDefault="002270F6"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indicator for urban land cover, as defined by the </w:t>
      </w:r>
      <w:hyperlink r:id="rId6" w:history="1">
        <w:r w:rsidRPr="002270F6">
          <w:rPr>
            <w:rStyle w:val="Hyperlink"/>
            <w:rFonts w:ascii="Times New Roman" w:hAnsi="Times New Roman" w:cs="Times New Roman"/>
            <w:sz w:val="24"/>
            <w:szCs w:val="24"/>
          </w:rPr>
          <w:t>Global Human Settlement project</w:t>
        </w:r>
      </w:hyperlink>
      <w:r>
        <w:rPr>
          <w:rFonts w:ascii="Times New Roman" w:hAnsi="Times New Roman" w:cs="Times New Roman"/>
          <w:sz w:val="24"/>
          <w:szCs w:val="24"/>
        </w:rPr>
        <w:t xml:space="preserve">. </w:t>
      </w:r>
    </w:p>
    <w:p w14:paraId="43E2329D" w14:textId="77777777" w:rsidR="00ED0396" w:rsidRPr="00623D89" w:rsidRDefault="00ED0396" w:rsidP="00ED0396">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 xml:space="preserve">The analysis also included the following health-related covariates: </w:t>
      </w:r>
    </w:p>
    <w:p w14:paraId="57BC8122" w14:textId="77777777" w:rsidR="00ED0396" w:rsidRPr="00623D89" w:rsidRDefault="00ED0396"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 xml:space="preserve">proportion of children aged 12-23 months who have received the third dose of diphtheria-pertussis-tetanus vaccine, which also serves as a proxy for routine health service utilization in children; </w:t>
      </w:r>
    </w:p>
    <w:p w14:paraId="75B2D5DB" w14:textId="77777777" w:rsidR="00ED0396" w:rsidRPr="00623D89" w:rsidRDefault="00ED0396"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 xml:space="preserve">incidence rate of </w:t>
      </w:r>
      <w:r w:rsidRPr="00623D89">
        <w:rPr>
          <w:rFonts w:ascii="Times New Roman" w:hAnsi="Times New Roman" w:cs="Times New Roman"/>
          <w:i/>
          <w:iCs/>
          <w:sz w:val="24"/>
          <w:szCs w:val="24"/>
        </w:rPr>
        <w:t xml:space="preserve">Plasmodium falciparum </w:t>
      </w:r>
      <w:r w:rsidRPr="00623D89">
        <w:rPr>
          <w:rFonts w:ascii="Times New Roman" w:hAnsi="Times New Roman" w:cs="Times New Roman"/>
          <w:sz w:val="24"/>
          <w:szCs w:val="24"/>
        </w:rPr>
        <w:t xml:space="preserve">malaria in children under 5; </w:t>
      </w:r>
    </w:p>
    <w:p w14:paraId="68C330F6" w14:textId="6D52374F" w:rsidR="00AB25E0" w:rsidRPr="00623D89" w:rsidRDefault="00ED0396" w:rsidP="00ED0396">
      <w:pPr>
        <w:pStyle w:val="ListParagraph"/>
        <w:numPr>
          <w:ilvl w:val="1"/>
          <w:numId w:val="3"/>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prevalence of stunting in children under 5.</w:t>
      </w:r>
    </w:p>
    <w:p w14:paraId="40236C97" w14:textId="6ED641E6" w:rsidR="00012B53" w:rsidRPr="00623D89" w:rsidRDefault="00012B53" w:rsidP="00012B53">
      <w:pPr>
        <w:autoSpaceDE w:val="0"/>
        <w:autoSpaceDN w:val="0"/>
        <w:adjustRightInd w:val="0"/>
        <w:spacing w:after="0" w:line="276" w:lineRule="auto"/>
        <w:rPr>
          <w:rFonts w:ascii="Times New Roman" w:hAnsi="Times New Roman" w:cs="Times New Roman"/>
          <w:sz w:val="24"/>
          <w:szCs w:val="24"/>
        </w:rPr>
      </w:pPr>
    </w:p>
    <w:p w14:paraId="2CAB197B" w14:textId="7C565CA3" w:rsidR="00012B53" w:rsidRPr="00623D89" w:rsidRDefault="00012B53" w:rsidP="00012B53">
      <w:pPr>
        <w:autoSpaceDE w:val="0"/>
        <w:autoSpaceDN w:val="0"/>
        <w:adjustRightInd w:val="0"/>
        <w:spacing w:after="0" w:line="276" w:lineRule="auto"/>
        <w:rPr>
          <w:rFonts w:ascii="Times New Roman" w:hAnsi="Times New Roman" w:cs="Times New Roman"/>
          <w:b/>
          <w:sz w:val="24"/>
          <w:szCs w:val="24"/>
        </w:rPr>
      </w:pPr>
      <w:r w:rsidRPr="00623D89">
        <w:rPr>
          <w:rFonts w:ascii="Times New Roman" w:hAnsi="Times New Roman" w:cs="Times New Roman"/>
          <w:b/>
          <w:sz w:val="24"/>
          <w:szCs w:val="24"/>
        </w:rPr>
        <w:t xml:space="preserve">Q: </w:t>
      </w:r>
      <w:r w:rsidR="009E6CE4" w:rsidRPr="00623D89">
        <w:rPr>
          <w:rFonts w:ascii="Times New Roman" w:hAnsi="Times New Roman" w:cs="Times New Roman"/>
          <w:b/>
          <w:sz w:val="24"/>
          <w:szCs w:val="24"/>
        </w:rPr>
        <w:t>Why were the different administrative subdivisions chosen for analysis?</w:t>
      </w:r>
      <w:r w:rsidR="009E6CE4" w:rsidRPr="00623D89">
        <w:rPr>
          <w:rFonts w:ascii="Times New Roman" w:hAnsi="Times New Roman" w:cs="Times New Roman"/>
          <w:b/>
          <w:sz w:val="24"/>
          <w:szCs w:val="24"/>
        </w:rPr>
        <w:br/>
      </w:r>
    </w:p>
    <w:p w14:paraId="5931C8AF" w14:textId="3E809E99" w:rsidR="009E6CE4" w:rsidRPr="00623D89" w:rsidRDefault="009E6CE4" w:rsidP="00A238E1">
      <w:pPr>
        <w:pStyle w:val="ListParagraph"/>
        <w:numPr>
          <w:ilvl w:val="0"/>
          <w:numId w:val="7"/>
        </w:numPr>
        <w:autoSpaceDE w:val="0"/>
        <w:autoSpaceDN w:val="0"/>
        <w:adjustRightInd w:val="0"/>
        <w:spacing w:after="0" w:line="276" w:lineRule="auto"/>
        <w:rPr>
          <w:rFonts w:ascii="Times New Roman" w:hAnsi="Times New Roman" w:cs="Times New Roman"/>
          <w:b/>
          <w:sz w:val="24"/>
          <w:szCs w:val="24"/>
        </w:rPr>
      </w:pPr>
      <w:r w:rsidRPr="00623D89">
        <w:rPr>
          <w:rFonts w:ascii="Times New Roman" w:hAnsi="Times New Roman" w:cs="Times New Roman"/>
          <w:sz w:val="24"/>
          <w:szCs w:val="24"/>
        </w:rPr>
        <w:t>The estimates from this analysis are available at the level of countries, first administrative divisions (regions, states), second administrative divis</w:t>
      </w:r>
      <w:r w:rsidR="00904B90">
        <w:rPr>
          <w:rFonts w:ascii="Times New Roman" w:hAnsi="Times New Roman" w:cs="Times New Roman"/>
          <w:sz w:val="24"/>
          <w:szCs w:val="24"/>
        </w:rPr>
        <w:t>i</w:t>
      </w:r>
      <w:r w:rsidRPr="00623D89">
        <w:rPr>
          <w:rFonts w:ascii="Times New Roman" w:hAnsi="Times New Roman" w:cs="Times New Roman"/>
          <w:sz w:val="24"/>
          <w:szCs w:val="24"/>
        </w:rPr>
        <w:t xml:space="preserve">ons (districts, municipalities), and </w:t>
      </w:r>
      <w:r w:rsidRPr="00623D89">
        <w:rPr>
          <w:rFonts w:ascii="Times New Roman" w:hAnsi="Times New Roman" w:cs="Times New Roman"/>
          <w:sz w:val="24"/>
          <w:szCs w:val="24"/>
        </w:rPr>
        <w:lastRenderedPageBreak/>
        <w:t xml:space="preserve">a 5x5 kilometer grid. </w:t>
      </w:r>
      <w:r w:rsidR="00A238E1">
        <w:rPr>
          <w:rFonts w:ascii="Times New Roman" w:hAnsi="Times New Roman" w:cs="Times New Roman"/>
          <w:sz w:val="24"/>
          <w:szCs w:val="24"/>
        </w:rPr>
        <w:t>Because policy decisions often happen at the first or second administrative level, estimates at that scale are useful for health officials and decision</w:t>
      </w:r>
      <w:r w:rsidR="00063BC4">
        <w:rPr>
          <w:rFonts w:ascii="Times New Roman" w:hAnsi="Times New Roman" w:cs="Times New Roman"/>
          <w:sz w:val="24"/>
          <w:szCs w:val="24"/>
        </w:rPr>
        <w:t>-</w:t>
      </w:r>
      <w:r w:rsidR="00A238E1">
        <w:rPr>
          <w:rFonts w:ascii="Times New Roman" w:hAnsi="Times New Roman" w:cs="Times New Roman"/>
          <w:sz w:val="24"/>
          <w:szCs w:val="24"/>
        </w:rPr>
        <w:t xml:space="preserve">makers working to tailor health interventions to local </w:t>
      </w:r>
      <w:r w:rsidR="00A238E1" w:rsidRPr="00A238E1">
        <w:rPr>
          <w:rFonts w:ascii="Times New Roman" w:hAnsi="Times New Roman" w:cs="Times New Roman"/>
          <w:sz w:val="24"/>
          <w:szCs w:val="24"/>
        </w:rPr>
        <w:t>medical, infrastructural, and cultural conditions</w:t>
      </w:r>
      <w:r w:rsidRPr="00623D89">
        <w:rPr>
          <w:rFonts w:ascii="Times New Roman" w:hAnsi="Times New Roman" w:cs="Times New Roman"/>
          <w:sz w:val="24"/>
          <w:szCs w:val="24"/>
        </w:rPr>
        <w:t xml:space="preserve">. In press materials, </w:t>
      </w:r>
      <w:r w:rsidR="00A238E1">
        <w:rPr>
          <w:rFonts w:ascii="Times New Roman" w:hAnsi="Times New Roman" w:cs="Times New Roman"/>
          <w:sz w:val="24"/>
          <w:szCs w:val="24"/>
        </w:rPr>
        <w:t>IHME may</w:t>
      </w:r>
      <w:r w:rsidRPr="00623D89">
        <w:rPr>
          <w:rFonts w:ascii="Times New Roman" w:hAnsi="Times New Roman" w:cs="Times New Roman"/>
          <w:sz w:val="24"/>
          <w:szCs w:val="24"/>
        </w:rPr>
        <w:t xml:space="preserve"> use the term </w:t>
      </w:r>
      <w:r w:rsidR="006F65F5">
        <w:rPr>
          <w:rFonts w:ascii="Times New Roman" w:hAnsi="Times New Roman" w:cs="Times New Roman"/>
          <w:sz w:val="24"/>
          <w:szCs w:val="24"/>
        </w:rPr>
        <w:t>“</w:t>
      </w:r>
      <w:r w:rsidRPr="00623D89">
        <w:rPr>
          <w:rFonts w:ascii="Times New Roman" w:hAnsi="Times New Roman" w:cs="Times New Roman"/>
          <w:sz w:val="24"/>
          <w:szCs w:val="24"/>
        </w:rPr>
        <w:t>district</w:t>
      </w:r>
      <w:r w:rsidR="006F65F5">
        <w:rPr>
          <w:rFonts w:ascii="Times New Roman" w:hAnsi="Times New Roman" w:cs="Times New Roman"/>
          <w:sz w:val="24"/>
          <w:szCs w:val="24"/>
        </w:rPr>
        <w:t>”</w:t>
      </w:r>
      <w:r w:rsidR="006F65F5" w:rsidRPr="00623D89">
        <w:rPr>
          <w:rFonts w:ascii="Times New Roman" w:hAnsi="Times New Roman" w:cs="Times New Roman"/>
          <w:sz w:val="24"/>
          <w:szCs w:val="24"/>
        </w:rPr>
        <w:t xml:space="preserve"> </w:t>
      </w:r>
      <w:r w:rsidRPr="00623D89">
        <w:rPr>
          <w:rFonts w:ascii="Times New Roman" w:hAnsi="Times New Roman" w:cs="Times New Roman"/>
          <w:sz w:val="24"/>
          <w:szCs w:val="24"/>
        </w:rPr>
        <w:t xml:space="preserve">to refer to second administrative subdivisions within a country. This does not align perfectly with naming conventions in every country mapped. A list of all naming conventions in the mapped countries is available from the IHME media team. </w:t>
      </w:r>
    </w:p>
    <w:p w14:paraId="48F173CC" w14:textId="71F42F46" w:rsidR="00012B53" w:rsidRPr="00623D89" w:rsidRDefault="00012B53" w:rsidP="00012B53">
      <w:pPr>
        <w:autoSpaceDE w:val="0"/>
        <w:autoSpaceDN w:val="0"/>
        <w:adjustRightInd w:val="0"/>
        <w:spacing w:after="0" w:line="276" w:lineRule="auto"/>
        <w:rPr>
          <w:rFonts w:ascii="Times New Roman" w:hAnsi="Times New Roman" w:cs="Times New Roman"/>
          <w:b/>
          <w:sz w:val="24"/>
          <w:szCs w:val="24"/>
        </w:rPr>
      </w:pPr>
    </w:p>
    <w:p w14:paraId="3FC68C49" w14:textId="578C4BAE" w:rsidR="00012B53" w:rsidRPr="00623D89" w:rsidRDefault="00012B53" w:rsidP="00012B53">
      <w:pPr>
        <w:autoSpaceDE w:val="0"/>
        <w:autoSpaceDN w:val="0"/>
        <w:adjustRightInd w:val="0"/>
        <w:spacing w:after="0" w:line="276" w:lineRule="auto"/>
        <w:rPr>
          <w:rFonts w:ascii="Times New Roman" w:hAnsi="Times New Roman" w:cs="Times New Roman"/>
          <w:b/>
          <w:sz w:val="24"/>
          <w:szCs w:val="24"/>
        </w:rPr>
      </w:pPr>
      <w:r w:rsidRPr="00623D89">
        <w:rPr>
          <w:rFonts w:ascii="Times New Roman" w:hAnsi="Times New Roman" w:cs="Times New Roman"/>
          <w:b/>
          <w:sz w:val="24"/>
          <w:szCs w:val="24"/>
        </w:rPr>
        <w:t>Q: How does this analysis compare to results from the Global Burden of Disease study?</w:t>
      </w:r>
    </w:p>
    <w:p w14:paraId="3C403198" w14:textId="05BB76D4" w:rsidR="00F7201F" w:rsidRPr="00623D89" w:rsidRDefault="00F7201F" w:rsidP="00012B53">
      <w:pPr>
        <w:autoSpaceDE w:val="0"/>
        <w:autoSpaceDN w:val="0"/>
        <w:adjustRightInd w:val="0"/>
        <w:spacing w:after="0" w:line="276" w:lineRule="auto"/>
        <w:rPr>
          <w:rFonts w:ascii="Times New Roman" w:hAnsi="Times New Roman" w:cs="Times New Roman"/>
          <w:b/>
          <w:sz w:val="24"/>
          <w:szCs w:val="24"/>
        </w:rPr>
      </w:pPr>
    </w:p>
    <w:p w14:paraId="03CA57FE" w14:textId="1249EC0A" w:rsidR="00F7201F" w:rsidRPr="00623D89" w:rsidRDefault="00DB367C" w:rsidP="00F7201F">
      <w:pPr>
        <w:pStyle w:val="ListParagraph"/>
        <w:numPr>
          <w:ilvl w:val="0"/>
          <w:numId w:val="6"/>
        </w:numPr>
        <w:autoSpaceDE w:val="0"/>
        <w:autoSpaceDN w:val="0"/>
        <w:adjustRightInd w:val="0"/>
        <w:spacing w:after="0" w:line="276" w:lineRule="auto"/>
        <w:rPr>
          <w:rFonts w:ascii="Times New Roman" w:hAnsi="Times New Roman" w:cs="Times New Roman"/>
          <w:sz w:val="24"/>
          <w:szCs w:val="24"/>
        </w:rPr>
      </w:pPr>
      <w:r w:rsidRPr="00623D89">
        <w:rPr>
          <w:rFonts w:ascii="Times New Roman" w:hAnsi="Times New Roman" w:cs="Times New Roman"/>
          <w:sz w:val="24"/>
          <w:szCs w:val="24"/>
        </w:rPr>
        <w:t>The Global Burden of Disease study produces estimates only at a national level</w:t>
      </w:r>
      <w:r w:rsidR="002270F6">
        <w:rPr>
          <w:rFonts w:ascii="Times New Roman" w:hAnsi="Times New Roman" w:cs="Times New Roman"/>
          <w:sz w:val="24"/>
          <w:szCs w:val="24"/>
        </w:rPr>
        <w:t>, or at the first administrative level for select countries</w:t>
      </w:r>
      <w:r w:rsidRPr="00623D89">
        <w:rPr>
          <w:rFonts w:ascii="Times New Roman" w:hAnsi="Times New Roman" w:cs="Times New Roman"/>
          <w:sz w:val="24"/>
          <w:szCs w:val="24"/>
        </w:rPr>
        <w:t xml:space="preserve">. This </w:t>
      </w:r>
      <w:r w:rsidR="00D82FE2">
        <w:rPr>
          <w:rFonts w:ascii="Times New Roman" w:hAnsi="Times New Roman" w:cs="Times New Roman"/>
          <w:sz w:val="24"/>
          <w:szCs w:val="24"/>
        </w:rPr>
        <w:t>study</w:t>
      </w:r>
      <w:r w:rsidR="00D82FE2" w:rsidRPr="00623D89">
        <w:rPr>
          <w:rFonts w:ascii="Times New Roman" w:hAnsi="Times New Roman" w:cs="Times New Roman"/>
          <w:sz w:val="24"/>
          <w:szCs w:val="24"/>
        </w:rPr>
        <w:t xml:space="preserve"> </w:t>
      </w:r>
      <w:r w:rsidRPr="00623D89">
        <w:rPr>
          <w:rFonts w:ascii="Times New Roman" w:hAnsi="Times New Roman" w:cs="Times New Roman"/>
          <w:sz w:val="24"/>
          <w:szCs w:val="24"/>
        </w:rPr>
        <w:t xml:space="preserve">uses a geospatial analysis to provide estimates at a more granular resolution, then aggregates those estimates to policy-relevant units within each country. National-level results can </w:t>
      </w:r>
      <w:r w:rsidR="00D82FE2">
        <w:rPr>
          <w:rFonts w:ascii="Times New Roman" w:hAnsi="Times New Roman" w:cs="Times New Roman"/>
          <w:sz w:val="24"/>
          <w:szCs w:val="24"/>
        </w:rPr>
        <w:t>mask</w:t>
      </w:r>
      <w:r w:rsidR="00D82FE2" w:rsidRPr="00623D89">
        <w:rPr>
          <w:rFonts w:ascii="Times New Roman" w:hAnsi="Times New Roman" w:cs="Times New Roman"/>
          <w:sz w:val="24"/>
          <w:szCs w:val="24"/>
        </w:rPr>
        <w:t xml:space="preserve"> </w:t>
      </w:r>
      <w:r w:rsidR="00C07529" w:rsidRPr="00623D89">
        <w:rPr>
          <w:rFonts w:ascii="Times New Roman" w:hAnsi="Times New Roman" w:cs="Times New Roman"/>
          <w:sz w:val="24"/>
          <w:szCs w:val="24"/>
        </w:rPr>
        <w:t xml:space="preserve">major differences in the distribution of child deaths within countries. This research estimated </w:t>
      </w:r>
      <w:r w:rsidR="00BA461B">
        <w:rPr>
          <w:rFonts w:ascii="Times New Roman" w:hAnsi="Times New Roman" w:cs="Times New Roman"/>
          <w:sz w:val="24"/>
          <w:szCs w:val="24"/>
        </w:rPr>
        <w:t xml:space="preserve">that as much as </w:t>
      </w:r>
      <w:r w:rsidR="00C07529" w:rsidRPr="00623D89">
        <w:rPr>
          <w:rFonts w:ascii="Times New Roman" w:hAnsi="Times New Roman" w:cs="Times New Roman"/>
          <w:sz w:val="24"/>
          <w:szCs w:val="24"/>
        </w:rPr>
        <w:t xml:space="preserve">a </w:t>
      </w:r>
      <w:r w:rsidR="006F65F5">
        <w:rPr>
          <w:rFonts w:ascii="Times New Roman" w:hAnsi="Times New Roman" w:cs="Times New Roman"/>
          <w:sz w:val="24"/>
          <w:szCs w:val="24"/>
        </w:rPr>
        <w:t>10</w:t>
      </w:r>
      <w:r w:rsidR="00C07529" w:rsidRPr="00623D89">
        <w:rPr>
          <w:rFonts w:ascii="Times New Roman" w:hAnsi="Times New Roman" w:cs="Times New Roman"/>
          <w:sz w:val="24"/>
          <w:szCs w:val="24"/>
        </w:rPr>
        <w:t>-fold difference in mortality rate</w:t>
      </w:r>
      <w:r w:rsidR="00BA461B">
        <w:rPr>
          <w:rFonts w:ascii="Times New Roman" w:hAnsi="Times New Roman" w:cs="Times New Roman"/>
          <w:sz w:val="24"/>
          <w:szCs w:val="24"/>
        </w:rPr>
        <w:t xml:space="preserve"> exists</w:t>
      </w:r>
      <w:r w:rsidR="00C07529" w:rsidRPr="00623D89">
        <w:rPr>
          <w:rFonts w:ascii="Times New Roman" w:hAnsi="Times New Roman" w:cs="Times New Roman"/>
          <w:sz w:val="24"/>
          <w:szCs w:val="24"/>
        </w:rPr>
        <w:t xml:space="preserve"> at the district level within a single country. </w:t>
      </w:r>
    </w:p>
    <w:p w14:paraId="4F3363FC" w14:textId="7CAB4C3C" w:rsidR="00012B53" w:rsidRPr="008011A5" w:rsidRDefault="00751E39" w:rsidP="008011A5">
      <w:pPr>
        <w:pStyle w:val="ListParagraph"/>
        <w:numPr>
          <w:ilvl w:val="0"/>
          <w:numId w:val="6"/>
        </w:numPr>
        <w:autoSpaceDE w:val="0"/>
        <w:autoSpaceDN w:val="0"/>
        <w:adjustRightInd w:val="0"/>
        <w:spacing w:after="0" w:line="276" w:lineRule="auto"/>
        <w:rPr>
          <w:rFonts w:ascii="Times New Roman" w:hAnsi="Times New Roman" w:cs="Times New Roman"/>
          <w:b/>
          <w:sz w:val="24"/>
          <w:szCs w:val="24"/>
        </w:rPr>
      </w:pPr>
      <w:r w:rsidRPr="008011A5">
        <w:rPr>
          <w:rFonts w:ascii="Times New Roman" w:hAnsi="Times New Roman" w:cs="Times New Roman"/>
          <w:sz w:val="24"/>
          <w:szCs w:val="24"/>
        </w:rPr>
        <w:t xml:space="preserve">These granular estimates allow decision-makers to tailor health responses precisely, making health policy decisions for local areas rather than entire countries. They also help to identify geographic inequities. </w:t>
      </w:r>
    </w:p>
    <w:sectPr w:rsidR="00012B53" w:rsidRPr="0080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8C3"/>
    <w:multiLevelType w:val="hybridMultilevel"/>
    <w:tmpl w:val="167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3595E"/>
    <w:multiLevelType w:val="hybridMultilevel"/>
    <w:tmpl w:val="B436F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368FE"/>
    <w:multiLevelType w:val="hybridMultilevel"/>
    <w:tmpl w:val="E7C87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D32358"/>
    <w:multiLevelType w:val="hybridMultilevel"/>
    <w:tmpl w:val="F08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32062"/>
    <w:multiLevelType w:val="hybridMultilevel"/>
    <w:tmpl w:val="657E2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A1A97"/>
    <w:multiLevelType w:val="hybridMultilevel"/>
    <w:tmpl w:val="922AC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B301F"/>
    <w:multiLevelType w:val="hybridMultilevel"/>
    <w:tmpl w:val="8626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CD"/>
    <w:rsid w:val="00012B53"/>
    <w:rsid w:val="00063BC4"/>
    <w:rsid w:val="001538F6"/>
    <w:rsid w:val="002270F6"/>
    <w:rsid w:val="003104DA"/>
    <w:rsid w:val="00325A80"/>
    <w:rsid w:val="003E32D0"/>
    <w:rsid w:val="00424CDE"/>
    <w:rsid w:val="004A19AC"/>
    <w:rsid w:val="0050263F"/>
    <w:rsid w:val="0052292C"/>
    <w:rsid w:val="005D513B"/>
    <w:rsid w:val="0061114C"/>
    <w:rsid w:val="00623D89"/>
    <w:rsid w:val="006D0196"/>
    <w:rsid w:val="006F65F5"/>
    <w:rsid w:val="00751E39"/>
    <w:rsid w:val="007666CA"/>
    <w:rsid w:val="008011A5"/>
    <w:rsid w:val="008451EE"/>
    <w:rsid w:val="00857C09"/>
    <w:rsid w:val="0087720F"/>
    <w:rsid w:val="008B2A4C"/>
    <w:rsid w:val="00904B90"/>
    <w:rsid w:val="0093459E"/>
    <w:rsid w:val="009C3E66"/>
    <w:rsid w:val="009D6A25"/>
    <w:rsid w:val="009E6CE4"/>
    <w:rsid w:val="00A238E1"/>
    <w:rsid w:val="00AB25E0"/>
    <w:rsid w:val="00AF3B74"/>
    <w:rsid w:val="00B13FCD"/>
    <w:rsid w:val="00B153ED"/>
    <w:rsid w:val="00BA461B"/>
    <w:rsid w:val="00BB5956"/>
    <w:rsid w:val="00C01E86"/>
    <w:rsid w:val="00C07529"/>
    <w:rsid w:val="00CC36B1"/>
    <w:rsid w:val="00CE24E2"/>
    <w:rsid w:val="00D254D2"/>
    <w:rsid w:val="00D341AC"/>
    <w:rsid w:val="00D82FE2"/>
    <w:rsid w:val="00DB367C"/>
    <w:rsid w:val="00DC75BD"/>
    <w:rsid w:val="00E079A5"/>
    <w:rsid w:val="00E11634"/>
    <w:rsid w:val="00E32B5A"/>
    <w:rsid w:val="00E85172"/>
    <w:rsid w:val="00ED0396"/>
    <w:rsid w:val="00F7201F"/>
    <w:rsid w:val="00FD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160B"/>
  <w15:chartTrackingRefBased/>
  <w15:docId w15:val="{4828D0FA-14D3-4368-80BF-AAF69C54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CD"/>
    <w:pPr>
      <w:ind w:left="720"/>
      <w:contextualSpacing/>
    </w:pPr>
  </w:style>
  <w:style w:type="character" w:styleId="CommentReference">
    <w:name w:val="annotation reference"/>
    <w:basedOn w:val="DefaultParagraphFont"/>
    <w:uiPriority w:val="99"/>
    <w:semiHidden/>
    <w:unhideWhenUsed/>
    <w:rsid w:val="00ED0396"/>
    <w:rPr>
      <w:sz w:val="16"/>
      <w:szCs w:val="16"/>
    </w:rPr>
  </w:style>
  <w:style w:type="paragraph" w:styleId="CommentText">
    <w:name w:val="annotation text"/>
    <w:basedOn w:val="Normal"/>
    <w:link w:val="CommentTextChar"/>
    <w:uiPriority w:val="99"/>
    <w:semiHidden/>
    <w:unhideWhenUsed/>
    <w:rsid w:val="00ED0396"/>
    <w:pPr>
      <w:spacing w:line="240" w:lineRule="auto"/>
    </w:pPr>
    <w:rPr>
      <w:sz w:val="20"/>
      <w:szCs w:val="20"/>
    </w:rPr>
  </w:style>
  <w:style w:type="character" w:customStyle="1" w:styleId="CommentTextChar">
    <w:name w:val="Comment Text Char"/>
    <w:basedOn w:val="DefaultParagraphFont"/>
    <w:link w:val="CommentText"/>
    <w:uiPriority w:val="99"/>
    <w:semiHidden/>
    <w:rsid w:val="00ED0396"/>
    <w:rPr>
      <w:sz w:val="20"/>
      <w:szCs w:val="20"/>
    </w:rPr>
  </w:style>
  <w:style w:type="paragraph" w:styleId="CommentSubject">
    <w:name w:val="annotation subject"/>
    <w:basedOn w:val="CommentText"/>
    <w:next w:val="CommentText"/>
    <w:link w:val="CommentSubjectChar"/>
    <w:uiPriority w:val="99"/>
    <w:semiHidden/>
    <w:unhideWhenUsed/>
    <w:rsid w:val="00ED0396"/>
    <w:rPr>
      <w:b/>
      <w:bCs/>
    </w:rPr>
  </w:style>
  <w:style w:type="character" w:customStyle="1" w:styleId="CommentSubjectChar">
    <w:name w:val="Comment Subject Char"/>
    <w:basedOn w:val="CommentTextChar"/>
    <w:link w:val="CommentSubject"/>
    <w:uiPriority w:val="99"/>
    <w:semiHidden/>
    <w:rsid w:val="00ED0396"/>
    <w:rPr>
      <w:b/>
      <w:bCs/>
      <w:sz w:val="20"/>
      <w:szCs w:val="20"/>
    </w:rPr>
  </w:style>
  <w:style w:type="paragraph" w:styleId="BalloonText">
    <w:name w:val="Balloon Text"/>
    <w:basedOn w:val="Normal"/>
    <w:link w:val="BalloonTextChar"/>
    <w:uiPriority w:val="99"/>
    <w:semiHidden/>
    <w:unhideWhenUsed/>
    <w:rsid w:val="00ED0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96"/>
    <w:rPr>
      <w:rFonts w:ascii="Segoe UI" w:hAnsi="Segoe UI" w:cs="Segoe UI"/>
      <w:sz w:val="18"/>
      <w:szCs w:val="18"/>
    </w:rPr>
  </w:style>
  <w:style w:type="character" w:styleId="Hyperlink">
    <w:name w:val="Hyperlink"/>
    <w:basedOn w:val="DefaultParagraphFont"/>
    <w:uiPriority w:val="99"/>
    <w:unhideWhenUsed/>
    <w:rsid w:val="00F7201F"/>
    <w:rPr>
      <w:color w:val="0563C1" w:themeColor="hyperlink"/>
      <w:u w:val="single"/>
    </w:rPr>
  </w:style>
  <w:style w:type="character" w:styleId="FollowedHyperlink">
    <w:name w:val="FollowedHyperlink"/>
    <w:basedOn w:val="DefaultParagraphFont"/>
    <w:uiPriority w:val="99"/>
    <w:semiHidden/>
    <w:unhideWhenUsed/>
    <w:rsid w:val="00CC36B1"/>
    <w:rPr>
      <w:color w:val="954F72" w:themeColor="followedHyperlink"/>
      <w:u w:val="single"/>
    </w:rPr>
  </w:style>
  <w:style w:type="paragraph" w:styleId="Revision">
    <w:name w:val="Revision"/>
    <w:hidden/>
    <w:uiPriority w:val="99"/>
    <w:semiHidden/>
    <w:rsid w:val="00934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hsl.jrc.ec.europa.eu/datasets.php" TargetMode="External"/><Relationship Id="rId5" Type="http://schemas.openxmlformats.org/officeDocument/2006/relationships/hyperlink" Target="http://www.healthdata.org/gbd/gbd-2017-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Apfel</dc:creator>
  <cp:keywords/>
  <dc:description/>
  <cp:lastModifiedBy>Amelia Apfel</cp:lastModifiedBy>
  <cp:revision>21</cp:revision>
  <dcterms:created xsi:type="dcterms:W3CDTF">2019-10-07T20:46:00Z</dcterms:created>
  <dcterms:modified xsi:type="dcterms:W3CDTF">2019-10-09T19:16:00Z</dcterms:modified>
</cp:coreProperties>
</file>